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5388"/>
        <w:gridCol w:w="4962"/>
      </w:tblGrid>
      <w:tr>
        <w:trPr>
          <w:trHeight w:val="1" w:hRule="atLeast"/>
          <w:jc w:val="left"/>
        </w:trPr>
        <w:tc>
          <w:tcPr>
            <w:tcW w:w="538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75" w:after="0" w:line="321"/>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СХВАЛЕНО</w:t>
            </w:r>
          </w:p>
          <w:p>
            <w:pPr>
              <w:tabs>
                <w:tab w:val="left" w:pos="2360" w:leader="none"/>
              </w:tabs>
              <w:spacing w:before="4" w:after="0" w:line="240"/>
              <w:ind w:right="38"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засідання </w:t>
            </w:r>
          </w:p>
          <w:p>
            <w:pPr>
              <w:tabs>
                <w:tab w:val="left" w:pos="2360" w:leader="none"/>
              </w:tabs>
              <w:spacing w:before="4" w:after="0" w:line="240"/>
              <w:ind w:right="38"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педагогічної ради </w:t>
            </w:r>
          </w:p>
          <w:p>
            <w:pPr>
              <w:tabs>
                <w:tab w:val="left" w:pos="2360" w:leader="none"/>
              </w:tabs>
              <w:spacing w:before="4" w:after="0" w:line="240"/>
              <w:ind w:right="38"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Початкової школи № 3 </w:t>
            </w:r>
          </w:p>
          <w:p>
            <w:pPr>
              <w:tabs>
                <w:tab w:val="left" w:pos="1488" w:leader="none"/>
                <w:tab w:val="left" w:pos="2188" w:leader="none"/>
              </w:tabs>
              <w:spacing w:before="4" w:after="0" w:line="240"/>
              <w:ind w:right="0" w:left="10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від 30.12.2024 року № 5</w:t>
            </w:r>
          </w:p>
        </w:tc>
        <w:tc>
          <w:tcPr>
            <w:tcW w:w="496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91" w:after="0" w:line="319"/>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ЗАТВЕРДЖЕНО</w:t>
            </w:r>
          </w:p>
          <w:p>
            <w:pPr>
              <w:tabs>
                <w:tab w:val="left" w:pos="871" w:leader="none"/>
                <w:tab w:val="left" w:pos="1571" w:leader="none"/>
                <w:tab w:val="left" w:pos="2364" w:leader="none"/>
                <w:tab w:val="left" w:pos="4253" w:leader="none"/>
              </w:tabs>
              <w:spacing w:before="0" w:after="0" w:line="240"/>
              <w:ind w:right="22"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наказ від 30.12.2024 року № 275</w:t>
            </w:r>
          </w:p>
          <w:p>
            <w:pPr>
              <w:tabs>
                <w:tab w:val="left" w:pos="871" w:leader="none"/>
                <w:tab w:val="left" w:pos="1571" w:leader="none"/>
                <w:tab w:val="left" w:pos="2364" w:leader="none"/>
                <w:tab w:val="left" w:pos="4253" w:leader="none"/>
              </w:tabs>
              <w:spacing w:before="0" w:after="0" w:line="240"/>
              <w:ind w:right="22"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Директор</w:t>
            </w:r>
          </w:p>
          <w:p>
            <w:pPr>
              <w:tabs>
                <w:tab w:val="left" w:pos="871" w:leader="none"/>
                <w:tab w:val="left" w:pos="1571" w:leader="none"/>
                <w:tab w:val="left" w:pos="2364" w:leader="none"/>
                <w:tab w:val="left" w:pos="4253" w:leader="none"/>
              </w:tabs>
              <w:spacing w:before="0" w:after="0" w:line="240"/>
              <w:ind w:right="22" w:left="10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___________ </w:t>
            </w:r>
            <w:r>
              <w:rPr>
                <w:rFonts w:ascii="Times New Roman" w:hAnsi="Times New Roman" w:cs="Times New Roman" w:eastAsia="Times New Roman"/>
                <w:color w:val="auto"/>
                <w:spacing w:val="0"/>
                <w:position w:val="0"/>
                <w:sz w:val="24"/>
                <w:shd w:fill="auto" w:val="clear"/>
              </w:rPr>
              <w:t xml:space="preserve">Інна МУДРА</w:t>
            </w:r>
          </w:p>
        </w:tc>
      </w:tr>
    </w:tbl>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Положення</w:t>
      </w: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 запобігання і протидію насильству та </w:t>
      </w: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жорстокому поводженню з дітьми</w:t>
      </w: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КЗЗСО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Початкова школа № 3 Хмельницької міської ради</w:t>
      </w:r>
      <w:r>
        <w:rPr>
          <w:rFonts w:ascii="Times New Roman" w:hAnsi="Times New Roman" w:cs="Times New Roman" w:eastAsia="Times New Roman"/>
          <w:b/>
          <w:color w:val="auto"/>
          <w:spacing w:val="0"/>
          <w:position w:val="0"/>
          <w:sz w:val="24"/>
          <w:shd w:fill="auto" w:val="clear"/>
        </w:rPr>
        <w:t xml:space="preserve">»</w:t>
      </w: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Загальні положення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Дане Положення регулює питання організації </w:t>
      </w:r>
      <w:r>
        <w:rPr>
          <w:rFonts w:ascii="Times New Roman" w:hAnsi="Times New Roman" w:cs="Times New Roman" w:eastAsia="Times New Roman"/>
          <w:b/>
          <w:color w:val="auto"/>
          <w:spacing w:val="0"/>
          <w:position w:val="0"/>
          <w:sz w:val="24"/>
          <w:shd w:fill="auto" w:val="clear"/>
        </w:rPr>
        <w:t xml:space="preserve">захисту дітей від різних форм насильства та жорстокого поводження в КЗЗСО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Початкова школа № 3 Хмельницької міської  ради</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Положення розроблено на основі Законів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освіту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 запобігання та протидію домашньому насильству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 охорону дитинства</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Про внесення змін до деяких законів України щодо запобігання насильству та унеможливлення жорстокого поводження з дітьми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06.10.2024 № 3792-IX,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внесення змін до деяких законодавчих актів України щодо протидії булінгу (цькуванню)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постанов Кабінету Міністрів України від 22.08.2018 № 658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затвердження Порядку взаємодії суб’єктів, що здійснюють заходи у сфері запобігання та протидії домашньому насильству і насильству за ознакою статті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01.06.2020 № 585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забезпечення соціального захисту дітей, які перебувають у складних життєвих обставинах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28.07.2021 № 775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наказів Міністерства освіти та науки України від 02.10.2018 № 1047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28.12.2019 № 1646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деякі питання реагування на випадки булінгу (цькування) та застосування заходів виховного впливу в закладах освіти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затвердження Порядку проведення оцінки ризиків вчинення домашнього насильства</w:t>
      </w:r>
      <w:r>
        <w:rPr>
          <w:rFonts w:ascii="Times New Roman" w:hAnsi="Times New Roman" w:cs="Times New Roman" w:eastAsia="Times New Roman"/>
          <w:color w:val="auto"/>
          <w:spacing w:val="0"/>
          <w:position w:val="0"/>
          <w:sz w:val="24"/>
          <w:shd w:fill="auto" w:val="clear"/>
        </w:rPr>
        <w:t xml:space="preserve">». </w:t>
      </w:r>
    </w:p>
    <w:p>
      <w:pPr>
        <w:numPr>
          <w:ilvl w:val="0"/>
          <w:numId w:val="13"/>
        </w:numPr>
        <w:spacing w:before="0" w:after="0" w:line="259"/>
        <w:ind w:right="0" w:left="92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Основні терміни: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Безпечне освітнє середовище</w:t>
      </w:r>
      <w:r>
        <w:rPr>
          <w:rFonts w:ascii="Times New Roman" w:hAnsi="Times New Roman" w:cs="Times New Roman" w:eastAsia="Times New Roman"/>
          <w:color w:val="auto"/>
          <w:spacing w:val="0"/>
          <w:position w:val="0"/>
          <w:sz w:val="24"/>
          <w:shd w:fill="auto" w:val="clear"/>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Насильство</w:t>
      </w:r>
      <w:r>
        <w:rPr>
          <w:rFonts w:ascii="Times New Roman" w:hAnsi="Times New Roman" w:cs="Times New Roman" w:eastAsia="Times New Roman"/>
          <w:color w:val="auto"/>
          <w:spacing w:val="0"/>
          <w:position w:val="0"/>
          <w:sz w:val="24"/>
          <w:shd w:fill="auto" w:val="clear"/>
        </w:rPr>
        <w:t xml:space="preserve">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Домашнє насильство</w:t>
      </w:r>
      <w:r>
        <w:rPr>
          <w:rFonts w:ascii="Times New Roman" w:hAnsi="Times New Roman" w:cs="Times New Roman" w:eastAsia="Times New Roman"/>
          <w:color w:val="auto"/>
          <w:spacing w:val="0"/>
          <w:position w:val="0"/>
          <w:sz w:val="24"/>
          <w:shd w:fill="auto" w:val="clear"/>
        </w:rPr>
        <w:t xml:space="preserve">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p>
    <w:p>
      <w:pPr>
        <w:spacing w:before="0" w:after="0" w:line="259"/>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Види насильства :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економічне насильство</w:t>
      </w:r>
      <w:r>
        <w:rPr>
          <w:rFonts w:ascii="Times New Roman" w:hAnsi="Times New Roman" w:cs="Times New Roman" w:eastAsia="Times New Roman"/>
          <w:color w:val="auto"/>
          <w:spacing w:val="0"/>
          <w:position w:val="0"/>
          <w:sz w:val="24"/>
          <w:shd w:fill="auto" w:val="clear"/>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психологічне насильство</w:t>
      </w:r>
      <w:r>
        <w:rPr>
          <w:rFonts w:ascii="Times New Roman" w:hAnsi="Times New Roman" w:cs="Times New Roman" w:eastAsia="Times New Roman"/>
          <w:color w:val="auto"/>
          <w:spacing w:val="0"/>
          <w:position w:val="0"/>
          <w:sz w:val="24"/>
          <w:shd w:fill="auto" w:val="clear"/>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сексуальне насильство</w:t>
      </w:r>
      <w:r>
        <w:rPr>
          <w:rFonts w:ascii="Times New Roman" w:hAnsi="Times New Roman" w:cs="Times New Roman" w:eastAsia="Times New Roman"/>
          <w:color w:val="auto"/>
          <w:spacing w:val="0"/>
          <w:position w:val="0"/>
          <w:sz w:val="24"/>
          <w:shd w:fill="auto" w:val="clear"/>
        </w:rP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фізичне насильство</w:t>
      </w:r>
      <w:r>
        <w:rPr>
          <w:rFonts w:ascii="Times New Roman" w:hAnsi="Times New Roman" w:cs="Times New Roman" w:eastAsia="Times New Roman"/>
          <w:color w:val="auto"/>
          <w:spacing w:val="0"/>
          <w:position w:val="0"/>
          <w:sz w:val="24"/>
          <w:shd w:fill="auto" w:val="clear"/>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Булінг (цькування)</w:t>
      </w:r>
      <w:r>
        <w:rPr>
          <w:rFonts w:ascii="Times New Roman" w:hAnsi="Times New Roman" w:cs="Times New Roman" w:eastAsia="Times New Roman"/>
          <w:color w:val="auto"/>
          <w:spacing w:val="0"/>
          <w:position w:val="0"/>
          <w:sz w:val="24"/>
          <w:shd w:fill="auto" w:val="clear"/>
        </w:rPr>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Види булінгу (цькування):</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фізичне насильство</w:t>
      </w:r>
      <w:r>
        <w:rPr>
          <w:rFonts w:ascii="Times New Roman" w:hAnsi="Times New Roman" w:cs="Times New Roman" w:eastAsia="Times New Roman"/>
          <w:color w:val="auto"/>
          <w:spacing w:val="0"/>
          <w:position w:val="0"/>
          <w:sz w:val="24"/>
          <w:shd w:fill="auto" w:val="clear"/>
        </w:rP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жбурляння предметів; спроби задушити);</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психологічне насильство</w:t>
      </w:r>
      <w:r>
        <w:rPr>
          <w:rFonts w:ascii="Times New Roman" w:hAnsi="Times New Roman" w:cs="Times New Roman" w:eastAsia="Times New Roman"/>
          <w:color w:val="auto"/>
          <w:spacing w:val="0"/>
          <w:position w:val="0"/>
          <w:sz w:val="24"/>
          <w:shd w:fill="auto" w:val="clear"/>
        </w:rPr>
        <w:t xml:space="preserve"> (тиск на психіку іншої людини, який проявляється у нанесенні словесних образ, погроз, залякуванні, переслідуванні);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економічне</w:t>
      </w:r>
      <w:r>
        <w:rPr>
          <w:rFonts w:ascii="Times New Roman" w:hAnsi="Times New Roman" w:cs="Times New Roman" w:eastAsia="Times New Roman"/>
          <w:color w:val="auto"/>
          <w:spacing w:val="0"/>
          <w:position w:val="0"/>
          <w:sz w:val="24"/>
          <w:shd w:fill="auto" w:val="clear"/>
        </w:rPr>
        <w:t xml:space="preserve"> (крадіжки, пошкодження чи знищення одягу та інших особистих речей, вимагання грошей);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сексуальне</w:t>
      </w:r>
      <w:r>
        <w:rPr>
          <w:rFonts w:ascii="Times New Roman" w:hAnsi="Times New Roman" w:cs="Times New Roman" w:eastAsia="Times New Roman"/>
          <w:color w:val="auto"/>
          <w:spacing w:val="0"/>
          <w:position w:val="0"/>
          <w:sz w:val="24"/>
          <w:shd w:fill="auto" w:val="clear"/>
        </w:rPr>
        <w:t xml:space="preserve"> (у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кібербулінг</w:t>
      </w:r>
      <w:r>
        <w:rPr>
          <w:rFonts w:ascii="Times New Roman" w:hAnsi="Times New Roman" w:cs="Times New Roman" w:eastAsia="Times New Roman"/>
          <w:color w:val="auto"/>
          <w:spacing w:val="0"/>
          <w:position w:val="0"/>
          <w:sz w:val="24"/>
          <w:shd w:fill="auto" w:val="clear"/>
        </w:rPr>
        <w:t xml:space="preserve"> (приниження за допомогою мобільних телефонів, Інтернету, інших електронних пристроїв). </w:t>
      </w:r>
    </w:p>
    <w:p>
      <w:pPr>
        <w:spacing w:before="0" w:after="0" w:line="259"/>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Основні завдання щодо захисту від різних форм насильства та жорстокого поводження в закладах освіти: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здійснення аналізу ситуації у закладі освіти (фізичного та емоційно-психологічного середовища);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вироблення офіційної позиції закладу освіти щодо усіх форм насильства та інформування про неї всіх учасників освітнього процесу;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розроблення правил поведінки для всіх учасників освітнього процесу – учнів, батьків, вчителів та інформування про них;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визначення обов’язків та відповідальності учасників освітнього процесу щодо створення та дотримання безпечної поведінки в закладі освіти;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проведення інструктажів всім працівникам закладу освіти.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Відповідно до ст.30 Закону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освіту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заклади освіти забезпечують на своїх сайтах (у разі їх відсутності - на сайтах своїх засновників) відкритий доступ до публічної інформації та документів, зокрема: правила поведінки здобувача освіти в закладі освіти; план заходів, спрямованих на запобігання та протидію домашньому насильству та булінгу (цькуванню) в закладі освіти погоджений з територіальним органом поліції; порядок подання та розгляду (з дотриманням конфіденційності) заяв та звернень про випадки домашнього насильства та булінгу (цькування) в закладі освіти; порядок реагування на доведені випадки булінгу (цькування) в закладі освіти та відповідальність осіб, причетних до булінгу (цькування); порядок визначення уповноваженої особи з питань запобігання та протидії булінгу та домашньому насильству із числа працівників закладу; контактну інформацію про уповноважену особу, про служби, до яких можна звернутися постраждалим (інформаційний стенд та сайт закладу освіти); інформацію про проведення виховної роботи та інформаційно-просвітницьких заходів.</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Здійснення інформування (на сайтах закладів освіти, стендах тощо) про цілодобові телефони довіри з питань допомоги жертвам насилля у закладі освіти та сім'ї; Національної гарячої лінії з питань запобігання насильству, Національної дитячої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гарячої лінії</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працівника ювенальної превенції територіального органу поліції.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Обов’язкове інформування відповідних органів про випадки, або підозри щодо форм насильства та експлуатації.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Взаємодія з іншими суб’єктами, що здійснюють заходи у сфері запобігання всіх видів насильства відповідно до чинного законодавства. </w:t>
      </w:r>
    </w:p>
    <w:p>
      <w:pPr>
        <w:spacing w:before="0" w:after="0" w:line="259"/>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w:t>
      </w:r>
      <w:r>
        <w:rPr>
          <w:rFonts w:ascii="Times New Roman" w:hAnsi="Times New Roman" w:cs="Times New Roman" w:eastAsia="Times New Roman"/>
          <w:b/>
          <w:color w:val="auto"/>
          <w:spacing w:val="0"/>
          <w:position w:val="0"/>
          <w:sz w:val="24"/>
          <w:shd w:fill="auto" w:val="clear"/>
        </w:rPr>
        <w:t xml:space="preserve">Керівник або уповноважена особа: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Керівник (уповноважена особа – призначається наказом керівника) закладу організовує початкове та періодичне інформування про захист дітей від усіх форм насильства та жорстокого поводження.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Затверджує положення про запобігання та протидію насильству та жорстокому поводженню з дітьми в школі, забезпечує його оприлюднення, обов’язкове ознайомлення з ним працівників та здійснює контроль за його виконанням.</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Здійснює контроль за виконанням плану заходів, спрямованих на запобігання та протидію насильству та булінгу (цькуванню) в закладі освіти. Проводять інформаційно-просвітницькі заходи з учасниками освітнього процесу з питань запобігання та протидії насильству/булінгу.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Створює комісію по розгляду звернень та скарг щодо випадків булінгу та домашнього насильства, до складу якої включає працівника ювенальної превенції.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Комісія працює відповідно до наказу Міністерства освіти і науки України від 28.12.2019 № 1646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деякі питання реагування на випадки булінгу (цькування) та застосування заходів виховного впливу в закладах освіти</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(цькування)/насильства.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Повідомляє уповноваженим підрозділам органів Національної поліції України та службі у справах дітей про випадки булінгу (цькування)/насильства у закладі освіти </w:t>
      </w:r>
      <w:r>
        <w:rPr>
          <w:rFonts w:ascii="Times New Roman" w:hAnsi="Times New Roman" w:cs="Times New Roman" w:eastAsia="Times New Roman"/>
          <w:b/>
          <w:color w:val="auto"/>
          <w:spacing w:val="0"/>
          <w:position w:val="0"/>
          <w:sz w:val="24"/>
          <w:shd w:fill="auto" w:val="clear"/>
        </w:rPr>
        <w:t xml:space="preserve">(відповідальність за неповідомлення про факт булінгу/насильства лежить лише на керівникові закладу</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r>
      <w:r>
        <w:rPr>
          <w:rFonts w:ascii="Calibri" w:hAnsi="Calibri" w:cs="Calibri" w:eastAsia="Calibri"/>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Комісія по розгляду звернень та скарг щодо випадків булінгу та домашнього насильства</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разі отримання заяви або повідомлення про випадок булінгу (цькування) скликається засідання комісії з розгляду випадку булінгу (цькування) не пізніше ніж упродовж трьох робочих днів з дня отримання заяви або повідомлення.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w:t>
      </w:r>
      <w:r>
        <w:rPr>
          <w:rFonts w:ascii="Times New Roman" w:hAnsi="Times New Roman" w:cs="Times New Roman" w:eastAsia="Times New Roman"/>
          <w:color w:val="auto"/>
          <w:spacing w:val="0"/>
          <w:position w:val="0"/>
          <w:sz w:val="24"/>
          <w:shd w:fill="auto" w:val="clear"/>
        </w:rPr>
        <w:t xml:space="preserve">Склад комісії, права та обов'язки її членів.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Склад комісії затверджується наказом директора закладу освіти. Комісія виконує свої обов'язки на постійній основі. Склад комісії формується з урахуванням основних завдань комісії. Комісія складається з голови, заступника голови, секретаря та п'яти її членів. До складу комісії входять педагогічні працівники. До участі в засіданні комісії за згодою залучаються батьки або інші законні представники учнів сторін булінгу (цькування), а також можуть залучатися сторони булінгу (цькування), представники інших суб'єктів реагування на випадки булінгу (цькування).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Головою комісії є директор закладу освіти. 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 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 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 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Член комісії має право:</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ознайомлюватися з матеріалами, що стосуються випадку булінгу (цькування), брати участь у їх перевірці;</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подавати пропозиції, висловлювати власну думку з питань, що розглядаються;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брати участь у прийнятті рішення шляхом голосування;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висловлювати окрему думку усно або письмово;</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вносити пропозиції до порядку денного засідання комісії.</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Член комісії зобов'язаний:</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особисто брати участь у роботі комісії;</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розголошувати стороннім особам відомості, що стали йому відомі у</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зв'язку з участю у роботі комісії, і не використовувати їх у своїх інтересах або інтересах третіх осіб;</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виконувати в межах, передбачених законодавством та посадовими обов'язками, доручення голови комісії;</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брати участь у голосуванні.</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r>
      <w:r>
        <w:rPr>
          <w:rFonts w:ascii="Times New Roman" w:hAnsi="Times New Roman" w:cs="Times New Roman" w:eastAsia="Times New Roman"/>
          <w:color w:val="auto"/>
          <w:spacing w:val="0"/>
          <w:position w:val="0"/>
          <w:sz w:val="24"/>
          <w:shd w:fill="auto" w:val="clear"/>
        </w:rPr>
        <w:t xml:space="preserve">Порядок роботи комісії.</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Метою діяльності комісії є припинення випадку булінгу (цькування) в закладі освіти; відновлення та нормалізація стосунків, створення сприятливих умов для подальшого навчання у класі,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 </w:t>
      </w:r>
      <w:r>
        <w:rPr>
          <w:rFonts w:ascii="Times New Roman" w:hAnsi="Times New Roman" w:cs="Times New Roman" w:eastAsia="Times New Roman"/>
          <w:color w:val="auto"/>
          <w:spacing w:val="0"/>
          <w:position w:val="0"/>
          <w:sz w:val="24"/>
          <w:shd w:fill="auto" w:val="clear"/>
        </w:rPr>
        <w:t xml:space="preserve">Діяльність комісії здійснюється на принципах:</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законності;</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верховенства права;</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поваги та дотримання прав і свобод людини;</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неупередженого ставлення до сторін булінгу (цькування);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відкритості та прозорості;</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конфіденційності та захисту персональних даних;</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невідкладного реагування;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комплексного підходу до розгляду випадку булінгу (цькування);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нетерпимості до булінгу (цькування) та визнання його суспільної</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небезпеки.</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Комісія у своїй діяльності забезпечує дотримання вимог Законів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інформацію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 захист персональних даних</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 </w:t>
      </w:r>
      <w:r>
        <w:rPr>
          <w:rFonts w:ascii="Times New Roman" w:hAnsi="Times New Roman" w:cs="Times New Roman" w:eastAsia="Times New Roman"/>
          <w:color w:val="auto"/>
          <w:spacing w:val="0"/>
          <w:position w:val="0"/>
          <w:sz w:val="24"/>
          <w:shd w:fill="auto" w:val="clear"/>
        </w:rPr>
        <w:t xml:space="preserve">До завдань комісії належать:</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збір інформації щодо обставин випадку булінгу (цькування), зокрема пояснень сторін булінгу (цькування), батьків або інших законних представників учнів сторін булінгу (цькування);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відомостей служби у справах дітей та центру соціальних служб для сім'ї, дітей та молоді;</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експертних висновків (за наявності), якщо у результаті вчинення булінгу (цькування) була завдана шкода психічному або фізичному здоров'ю потерпілого;</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інформації, збереженої на технічних засобах чи засобах електронної комунікації (Інтернет, соціальні мережі, повідомлення тощо);</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іншої інформації, яка має значення для об'єктивного розгляду заяви;</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разі прийняття рішення комісією про наявність обставин, що обґрунтовують інформацію, зазначену у заяві, до завдань комісії також належать:</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визначення причин булінгу (цькування) та необхідних заходів для усунення таких причин;</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визначення заходів виховного впливу щодо сторін булінгу (цькування) де стався випадок булінгу (цькування);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моніторинг ефективності соціальних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надання рекомендацій для педагогічних працівників ліцею щодо доцільних методів здійснення освітнього процесу та інших заходів з учнями сторонами булінгу (цькування), їхніми батьками або іншими законними представниками;</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надання рекомендацій для батьків або інших законних представників дитини, яка стала стороною булінгу (цькування).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2.2.5. </w:t>
      </w:r>
      <w:r>
        <w:rPr>
          <w:rFonts w:ascii="Times New Roman" w:hAnsi="Times New Roman" w:cs="Times New Roman" w:eastAsia="Times New Roman"/>
          <w:color w:val="auto"/>
          <w:spacing w:val="0"/>
          <w:position w:val="0"/>
          <w:sz w:val="24"/>
          <w:shd w:fill="auto" w:val="clear"/>
        </w:rPr>
        <w:t xml:space="preserve">Формою роботи комісії є засідання, які проводяться у разі потреби. Дату, час і місце проведення засідання комісії визначає її голова.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2.2.6. </w:t>
      </w:r>
      <w:r>
        <w:rPr>
          <w:rFonts w:ascii="Times New Roman" w:hAnsi="Times New Roman" w:cs="Times New Roman" w:eastAsia="Times New Roman"/>
          <w:color w:val="auto"/>
          <w:spacing w:val="0"/>
          <w:position w:val="0"/>
          <w:sz w:val="24"/>
          <w:shd w:fill="auto" w:val="clear"/>
        </w:rPr>
        <w:t xml:space="preserve">Засідання комісії є правоможним у разі участі в ньому не менш як двох третин її складу.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2.2.7. </w:t>
      </w:r>
      <w:r>
        <w:rPr>
          <w:rFonts w:ascii="Times New Roman" w:hAnsi="Times New Roman" w:cs="Times New Roman" w:eastAsia="Times New Roman"/>
          <w:color w:val="auto"/>
          <w:spacing w:val="0"/>
          <w:position w:val="0"/>
          <w:sz w:val="24"/>
          <w:shd w:fill="auto" w:val="clear"/>
        </w:rPr>
        <w:t xml:space="preserve">Секретар комісії не пізніше 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 членам комісії необхідні матеріали в електронному або паперовому вигляді.</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2.2.8. </w:t>
      </w:r>
      <w:r>
        <w:rPr>
          <w:rFonts w:ascii="Times New Roman" w:hAnsi="Times New Roman" w:cs="Times New Roman" w:eastAsia="Times New Roman"/>
          <w:color w:val="auto"/>
          <w:spacing w:val="0"/>
          <w:position w:val="0"/>
          <w:sz w:val="24"/>
          <w:shd w:fill="auto" w:val="clear"/>
        </w:rPr>
        <w:t xml:space="preserve">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2.2.9. </w:t>
      </w:r>
      <w:r>
        <w:rPr>
          <w:rFonts w:ascii="Times New Roman" w:hAnsi="Times New Roman" w:cs="Times New Roman" w:eastAsia="Times New Roman"/>
          <w:color w:val="auto"/>
          <w:spacing w:val="0"/>
          <w:position w:val="0"/>
          <w:sz w:val="24"/>
          <w:shd w:fill="auto" w:val="clear"/>
        </w:rPr>
        <w:t xml:space="preserve">Під час проведення засідання комісії секретар комісії веде протокол засідання комісії.</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2.2.10. </w:t>
      </w:r>
      <w:r>
        <w:rPr>
          <w:rFonts w:ascii="Times New Roman" w:hAnsi="Times New Roman" w:cs="Times New Roman" w:eastAsia="Times New Roman"/>
          <w:color w:val="auto"/>
          <w:spacing w:val="0"/>
          <w:position w:val="0"/>
          <w:sz w:val="24"/>
          <w:shd w:fill="auto" w:val="clear"/>
        </w:rPr>
        <w:t xml:space="preserve">Особи, залучені до участі в засіданні комісії, зобов'язані дотримуватись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2.2.11. </w:t>
      </w:r>
      <w:r>
        <w:rPr>
          <w:rFonts w:ascii="Times New Roman" w:hAnsi="Times New Roman" w:cs="Times New Roman" w:eastAsia="Times New Roman"/>
          <w:color w:val="auto"/>
          <w:spacing w:val="0"/>
          <w:position w:val="0"/>
          <w:sz w:val="24"/>
          <w:shd w:fill="auto" w:val="clear"/>
        </w:rPr>
        <w:t xml:space="preserve">Особи, залучені до участі в засіданні комісії, під час засідання комісії мають право:</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ознайомлюватися з матеріалами, поданими на розгляд комісії;</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ставити питання по суті розгляду;</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подавати пропозиції, висловлювати власну думку з питань, що розглядаються.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 </w:t>
      </w:r>
      <w:r>
        <w:rPr>
          <w:rFonts w:ascii="Times New Roman" w:hAnsi="Times New Roman" w:cs="Times New Roman" w:eastAsia="Times New Roman"/>
          <w:color w:val="auto"/>
          <w:spacing w:val="0"/>
          <w:position w:val="0"/>
          <w:sz w:val="24"/>
          <w:shd w:fill="auto" w:val="clear"/>
        </w:rPr>
        <w:t xml:space="preserve">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2.2.13. </w:t>
      </w:r>
      <w:r>
        <w:rPr>
          <w:rFonts w:ascii="Times New Roman" w:hAnsi="Times New Roman" w:cs="Times New Roman" w:eastAsia="Times New Roman"/>
          <w:color w:val="auto"/>
          <w:spacing w:val="0"/>
          <w:position w:val="0"/>
          <w:sz w:val="24"/>
          <w:shd w:fill="auto" w:val="clear"/>
        </w:rPr>
        <w:t xml:space="preserve">Строк розгляду комісією заяви або повідомлення про випадок булінгу (цькування) в ліцеї та виконання нею своїх завдань не має перевищувати десяти робочих днів із дня отримання заяви або повідомлення керівником закладу.</w:t>
      </w:r>
    </w:p>
    <w:p>
      <w:pPr>
        <w:spacing w:before="0" w:after="0" w:line="259"/>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w:t>
      </w:r>
      <w:r>
        <w:rPr>
          <w:rFonts w:ascii="Times New Roman" w:hAnsi="Times New Roman" w:cs="Times New Roman" w:eastAsia="Times New Roman"/>
          <w:b/>
          <w:color w:val="auto"/>
          <w:spacing w:val="0"/>
          <w:position w:val="0"/>
          <w:sz w:val="24"/>
          <w:shd w:fill="auto" w:val="clear"/>
        </w:rPr>
        <w:t xml:space="preserve">Психологічна служба (психолог/соціальний педагог):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забезпечує виконання заходів для надання соціальних та психолого педагогічних послуг здобувачам освіти, які вчинили булінг/насильство, стали його свідками або постраждали від булінгу/насильства, веде облік випадків та оформлення документації, згідно цього Положення;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 </w:t>
      </w:r>
    </w:p>
    <w:p>
      <w:pPr>
        <w:spacing w:before="0" w:after="0" w:line="259"/>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 </w:t>
      </w:r>
      <w:r>
        <w:rPr>
          <w:rFonts w:ascii="Times New Roman" w:hAnsi="Times New Roman" w:cs="Times New Roman" w:eastAsia="Times New Roman"/>
          <w:b/>
          <w:color w:val="auto"/>
          <w:spacing w:val="0"/>
          <w:position w:val="0"/>
          <w:sz w:val="24"/>
          <w:shd w:fill="auto" w:val="clear"/>
        </w:rPr>
        <w:t xml:space="preserve">Педагогічні та інші працівники закладу освіти:</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сприяють у проведенні розслідування щодо випадків булінгу (цькування) та насильства;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виконують рішення та рекомендації комісії з розгляду випадків насильства та булінгу (цькування) у закладі освіти. </w:t>
      </w:r>
    </w:p>
    <w:p>
      <w:pPr>
        <w:spacing w:before="0" w:after="0" w:line="259"/>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Права та обов'язки учасників освітнього процесу.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b/>
          <w:color w:val="auto"/>
          <w:spacing w:val="0"/>
          <w:position w:val="0"/>
          <w:sz w:val="24"/>
          <w:shd w:fill="auto" w:val="clear"/>
        </w:rPr>
        <w:t xml:space="preserve">Здобувачі освіти мають право на:</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якісні освітні послуги;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інші необхідні умови для здобуття освіти, у тому числі для осіб з особливими освітніми потребами та із соціально незахищених верств населення;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свободу творчої, спортивної, оздоровчої, культурної, просвітницької, наукової і науково-технічної діяльності тощо;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особисту або через своїх законних представників участь у громадському самоврядуванні та управлінні закладом освіти;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безпечні та нешкідливі умови навчання і праці;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повагу людської гідності;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отримання соціальних та психолого-педагогічних послуг як особа, яка постраждала від насильства та булінгу (цькування), стала його свідком або вчинила булінг (цькування).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Здобувачі освіти зобов'язані:</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поважати гідність, права, свободи та законні інтереси всіх учасників освітнього процесу, дотримуватися етичних норм;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відповідально та дбайливо ставитися до власного здоров'я, здоров'я оточуючих, довкілля; дотримуватися установчих документів, правил внутрішнього розпорядку закладу освіти;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повідомляти керівництво закладу освіти про факти булінгу (цькування) та насильства стосовно здобувачів освіти, педагогічних, науково-педагогічних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pPr>
        <w:spacing w:before="0" w:after="0" w:line="259"/>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Працівники, які залучаються до освітнього процесу</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Мають право на:</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захист професійної честі і гідності;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захист під час освітнього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 </w:t>
      </w:r>
    </w:p>
    <w:p>
      <w:pPr>
        <w:spacing w:before="0" w:after="0" w:line="259"/>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b/>
          <w:color w:val="auto"/>
          <w:spacing w:val="0"/>
          <w:position w:val="0"/>
          <w:sz w:val="24"/>
          <w:shd w:fill="auto" w:val="clear"/>
        </w:rPr>
        <w:t xml:space="preserve">Зобов'язані: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дотримуватися педагогічної етики;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поважати гідність, права, свободи і законні інтереси всіх учасників освітнього процесу;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формувати у здобувачів освіти усвідомлення необхідності додержуватися Конституції та законів України;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додержуватися установчих документів та правил внутрішнього розпорядку закладу освіти, виконувати свої посадові обов'язки;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pPr>
        <w:spacing w:before="0" w:after="0" w:line="259"/>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 </w:t>
      </w:r>
      <w:r>
        <w:rPr>
          <w:rFonts w:ascii="Times New Roman" w:hAnsi="Times New Roman" w:cs="Times New Roman" w:eastAsia="Times New Roman"/>
          <w:b/>
          <w:color w:val="auto"/>
          <w:spacing w:val="0"/>
          <w:position w:val="0"/>
          <w:sz w:val="24"/>
          <w:shd w:fill="auto" w:val="clear"/>
        </w:rPr>
        <w:t xml:space="preserve">Батьки здобувачів освіти: </w:t>
      </w:r>
    </w:p>
    <w:p>
      <w:pPr>
        <w:spacing w:before="0" w:after="0" w:line="259"/>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мають право: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отримувати інформацію про діяльність закладу освіти, у тому числі -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подавати заяву про випадки булінгу (цькування) стосовно дитини або будьякого іншого учасника освітнього процесу; вимагати повного та неупередженого розслідування випадків булінгу (цькування) стосовно дитини або будь-якого іншого учасника освітнього процесу.</w:t>
      </w:r>
    </w:p>
    <w:p>
      <w:pPr>
        <w:spacing w:before="0" w:after="0" w:line="259"/>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Зобов'язані: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поважати гідність, права, свободи і законні інтереси дитини та інших учасників освітнього процесу;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дбати про фізичне і психічне здоров'я дитини, сприяти розвитку її здібностей, формувати навички здорового способу життя;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сприяти у проведенні розслідування щодо випадків булінгу (цькування); виконувати рішення та рекомендації комісії з розгляду випадків булінгу (цькування) та інше, що сприятиме покращенню виправлення ситуації, що призвела до булінгу. </w:t>
      </w:r>
    </w:p>
    <w:p>
      <w:pPr>
        <w:spacing w:before="0" w:after="0" w:line="259"/>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Відповідальність осіб причетних до булінгу (цькування)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Відповідальність за булінг (цькування) встановлена статтею 173 п.4 Кодексу України про адміністративні правопорушення такого змісту: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5. </w:t>
      </w:r>
      <w:r>
        <w:rPr>
          <w:rFonts w:ascii="Times New Roman" w:hAnsi="Times New Roman" w:cs="Times New Roman" w:eastAsia="Times New Roman"/>
          <w:b/>
          <w:color w:val="auto"/>
          <w:spacing w:val="0"/>
          <w:position w:val="0"/>
          <w:sz w:val="24"/>
          <w:shd w:fill="auto" w:val="clear"/>
        </w:rPr>
        <w:t xml:space="preserve">Взаємодія з установами, які здійснюють заходи у сфері запобігання та захисту від різних форм насильства та жорстокого поводження в закладах освіти. </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 </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боулінгу (цькування). </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Участь представників інших установ у професійному інформуванні усіх учасників освітнього процесу щодо запобіганню насильству та булінгу (цькування). </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Залучення представників служби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булінгу (цькування). </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Забезпечити взаємодію із місцевими центрами з надання безоплатної вторинної правової допомоги при проведенні спільних правопросвітницьких заходів щодо запобігання та протидії булінгу (цькування) та домашньому насильству, а також спрямування осіб, що постраждали від булінгу (цькування) та домашнього насильства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 </w:t>
      </w: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Прикінцеві положення </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Положення про порядок захисту дітей від різних форм насильства та жорстокого поводження в КЗЗСО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Початкова школа № 3 Хмельницької міської ради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затверджується наказом керівника закладу і є обов'язковими до виконання усіма учасниками освітнього процесу. </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Учасники освітнього процесу мають бути ознайомлені з порядком захисту дітей від різних форм насильства та жорстокого поводження в КЗЗСО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Початкова школа № 3 Хмельницької міської ради</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Введено в дію наказом директора </w:t>
      </w:r>
    </w:p>
    <w:p>
      <w:pPr>
        <w:spacing w:before="0" w:after="0" w:line="259"/>
        <w:ind w:right="48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Початкової школи № 3 </w:t>
      </w:r>
    </w:p>
    <w:p>
      <w:pPr>
        <w:spacing w:before="0" w:after="0" w:line="259"/>
        <w:ind w:right="48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30.12. 2024 р. №275 </w:t>
      </w:r>
    </w:p>
  </w:body>
</w:document>
</file>

<file path=word/numbering.xml><?xml version="1.0" encoding="utf-8"?>
<w:numbering xmlns:w="http://schemas.openxmlformats.org/wordprocessingml/2006/main">
  <w:abstractNum w:abstractNumId="0">
    <w:lvl w:ilvl="0">
      <w:start w:val="1"/>
      <w:numFmt w:val="bullet"/>
      <w:lvlText w:val="•"/>
    </w:lvl>
  </w:abstractNum>
  <w:num w:numId="1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